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A7263E8"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7A071E">
        <w:rPr>
          <w:noProof w:val="0"/>
          <w:color w:val="000000" w:themeColor="text1"/>
          <w:sz w:val="24"/>
          <w:szCs w:val="24"/>
          <w:lang w:val="de-DE"/>
        </w:rPr>
        <w:t>4</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8A3BA1">
        <w:rPr>
          <w:noProof w:val="0"/>
          <w:color w:val="000000" w:themeColor="text1"/>
          <w:sz w:val="24"/>
          <w:szCs w:val="24"/>
          <w:lang w:val="de-DE"/>
        </w:rPr>
        <w:t>100551</w:t>
      </w:r>
      <w:r w:rsidR="0038333B" w:rsidRPr="001B0BC0" w:rsidDel="0038333B">
        <w:rPr>
          <w:noProof w:val="0"/>
          <w:color w:val="000000" w:themeColor="text1"/>
          <w:sz w:val="24"/>
          <w:szCs w:val="24"/>
          <w:lang w:val="de-DE"/>
        </w:rPr>
        <w:t xml:space="preserve"> </w:t>
      </w:r>
    </w:p>
    <w:p w14:paraId="30E02940" w14:textId="20DE1B2E" w:rsidR="00CA26CE" w:rsidRPr="001B0BC0" w:rsidRDefault="00CA26CE" w:rsidP="00CA26CE">
      <w:pPr>
        <w:pStyle w:val="Header"/>
        <w:rPr>
          <w:bCs/>
          <w:noProof w:val="0"/>
          <w:color w:val="000000" w:themeColor="text1"/>
          <w:sz w:val="24"/>
          <w:szCs w:val="24"/>
          <w:lang w:val="de-DE"/>
        </w:rPr>
      </w:pP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DFD56D3"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8A3BA1">
        <w:rPr>
          <w:rFonts w:cs="Arial"/>
          <w:b/>
          <w:bCs/>
          <w:color w:val="000000" w:themeColor="text1"/>
          <w:sz w:val="24"/>
          <w:szCs w:val="24"/>
          <w:lang w:val="en-US"/>
        </w:rPr>
        <w:t>8</w:t>
      </w:r>
      <w:r w:rsidR="00FD0F68" w:rsidRPr="008A3BA1">
        <w:rPr>
          <w:rFonts w:cs="Arial"/>
          <w:b/>
          <w:bCs/>
          <w:color w:val="000000" w:themeColor="text1"/>
          <w:sz w:val="24"/>
          <w:szCs w:val="24"/>
          <w:lang w:val="en-US"/>
        </w:rPr>
        <w:t>.</w:t>
      </w:r>
      <w:r w:rsidR="00723A62" w:rsidRPr="008A3BA1">
        <w:rPr>
          <w:rFonts w:cs="Arial"/>
          <w:b/>
          <w:bCs/>
          <w:color w:val="000000" w:themeColor="text1"/>
          <w:sz w:val="24"/>
          <w:szCs w:val="24"/>
          <w:lang w:val="en-US"/>
        </w:rPr>
        <w:t>5</w:t>
      </w:r>
      <w:r w:rsidR="00FD0F68" w:rsidRPr="008A3BA1">
        <w:rPr>
          <w:rFonts w:cs="Arial"/>
          <w:b/>
          <w:bCs/>
          <w:color w:val="000000" w:themeColor="text1"/>
          <w:sz w:val="24"/>
          <w:szCs w:val="24"/>
          <w:lang w:val="en-US"/>
        </w:rPr>
        <w:t>.</w:t>
      </w:r>
      <w:r w:rsidR="00DF0B81" w:rsidRPr="008A3BA1">
        <w:rPr>
          <w:rFonts w:cs="Arial"/>
          <w:b/>
          <w:bCs/>
          <w:color w:val="000000" w:themeColor="text1"/>
          <w:sz w:val="24"/>
          <w:szCs w:val="24"/>
          <w:lang w:val="en-US"/>
        </w:rPr>
        <w:t>4</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A2620F1"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177F3E">
        <w:rPr>
          <w:rFonts w:ascii="Arial" w:hAnsi="Arial" w:cs="Arial"/>
          <w:b/>
          <w:bCs/>
          <w:color w:val="000000" w:themeColor="text1"/>
          <w:sz w:val="24"/>
          <w:szCs w:val="24"/>
          <w:lang w:val="en-US"/>
        </w:rPr>
        <w:t>Additional</w:t>
      </w:r>
      <w:r w:rsidR="007A071E">
        <w:rPr>
          <w:rFonts w:ascii="Arial" w:hAnsi="Arial" w:cs="Arial"/>
          <w:b/>
          <w:bCs/>
          <w:color w:val="000000" w:themeColor="text1"/>
          <w:sz w:val="24"/>
          <w:szCs w:val="24"/>
          <w:lang w:val="en-US"/>
        </w:rPr>
        <w:t xml:space="preserve">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177F3E">
        <w:rPr>
          <w:rFonts w:ascii="Arial" w:hAnsi="Arial" w:cs="Arial"/>
          <w:b/>
          <w:bCs/>
          <w:color w:val="000000" w:themeColor="text1"/>
          <w:sz w:val="24"/>
          <w:szCs w:val="24"/>
          <w:lang w:val="en-US"/>
        </w:rPr>
        <w:t>positioning enhancements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7822FA97" w:rsidR="00D62D9D" w:rsidRPr="003D3F36"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w:t>
      </w:r>
      <w:r w:rsidR="00177F3E">
        <w:rPr>
          <w:color w:val="000000" w:themeColor="text1"/>
          <w:lang w:val="en-US"/>
        </w:rPr>
        <w:t>other</w:t>
      </w:r>
      <w:r w:rsidRPr="003D3F36">
        <w:rPr>
          <w:color w:val="000000" w:themeColor="text1"/>
          <w:lang w:val="en-US"/>
        </w:rPr>
        <w:t xml:space="preserve"> </w:t>
      </w:r>
      <w:r w:rsidR="007A071E">
        <w:rPr>
          <w:color w:val="000000" w:themeColor="text1"/>
          <w:lang w:val="en-US"/>
        </w:rPr>
        <w:t>enhancements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 [3]</w:t>
      </w:r>
      <w:r w:rsidR="00DF0B81">
        <w:rPr>
          <w:color w:val="000000" w:themeColor="text1"/>
          <w:lang w:val="en-US"/>
        </w:rPr>
        <w:t>,[4]</w:t>
      </w:r>
      <w:r w:rsidRPr="003D3F36">
        <w:rPr>
          <w:color w:val="000000" w:themeColor="text1"/>
          <w:lang w:val="en-US"/>
        </w:rPr>
        <w:t xml:space="preserve">.   </w:t>
      </w:r>
      <w:r w:rsidR="00D62D9D" w:rsidRPr="003D3F36">
        <w:rPr>
          <w:color w:val="000000" w:themeColor="text1"/>
          <w:lang w:val="en-US"/>
        </w:rPr>
        <w:t xml:space="preserve"> </w:t>
      </w:r>
    </w:p>
    <w:p w14:paraId="17A343C0" w14:textId="66A30876" w:rsidR="00BC6519" w:rsidRPr="00587315" w:rsidRDefault="52562533" w:rsidP="00587315">
      <w:pPr>
        <w:pStyle w:val="Heading1"/>
        <w:rPr>
          <w:color w:val="000000" w:themeColor="text1"/>
          <w:lang w:val="en-US"/>
        </w:rPr>
      </w:pPr>
      <w:r w:rsidRPr="003D3F36">
        <w:rPr>
          <w:color w:val="000000" w:themeColor="text1"/>
          <w:lang w:val="en-US"/>
        </w:rPr>
        <w:t>Discussion</w:t>
      </w:r>
      <w:bookmarkEnd w:id="0"/>
      <w:r w:rsidR="00BC6519" w:rsidRPr="00587315">
        <w:rPr>
          <w:lang w:val="en-US" w:eastAsia="ja-JP"/>
        </w:rPr>
        <w:t xml:space="preserve"> </w:t>
      </w:r>
    </w:p>
    <w:p w14:paraId="3DF78314" w14:textId="1409DAF5" w:rsidR="00D82B94" w:rsidRPr="001B0BC0" w:rsidRDefault="00D82B94" w:rsidP="00D82B94">
      <w:pPr>
        <w:pStyle w:val="Heading2"/>
        <w:rPr>
          <w:lang w:val="en-US" w:eastAsia="ja-JP"/>
        </w:rPr>
      </w:pPr>
      <w:r w:rsidRPr="001B0BC0">
        <w:rPr>
          <w:lang w:val="en-US" w:eastAsia="ja-JP"/>
        </w:rPr>
        <w:t xml:space="preserve">Transmit Power Control </w:t>
      </w:r>
    </w:p>
    <w:p w14:paraId="73DABA12" w14:textId="77777777" w:rsidR="00494A9C" w:rsidRPr="00B238E0" w:rsidRDefault="00494A9C" w:rsidP="6D6420F2">
      <w:pPr>
        <w:jc w:val="both"/>
        <w:rPr>
          <w:lang w:val="en-US" w:eastAsia="zh-CN"/>
        </w:rPr>
      </w:pPr>
      <w:r w:rsidRPr="00B238E0">
        <w:rPr>
          <w:lang w:val="en-US" w:eastAsia="ja-JP"/>
        </w:rPr>
        <w:t xml:space="preserve">Rel-16 NR positioning </w:t>
      </w:r>
      <w:r w:rsidRPr="00B238E0">
        <w:rPr>
          <w:lang w:val="en-US" w:eastAsia="zh-CN"/>
        </w:rPr>
        <w:t xml:space="preserve">supports that a UE is configured with </w:t>
      </w:r>
      <w:proofErr w:type="spellStart"/>
      <w:r w:rsidRPr="00B238E0">
        <w:rPr>
          <w:lang w:val="en-US" w:eastAsia="zh-CN"/>
        </w:rPr>
        <w:t>spatialRelationInfo</w:t>
      </w:r>
      <w:proofErr w:type="spellEnd"/>
      <w:r w:rsidRPr="00B238E0">
        <w:rPr>
          <w:lang w:val="en-US" w:eastAsia="zh-CN"/>
        </w:rPr>
        <w:t xml:space="preserve"> and </w:t>
      </w:r>
      <w:proofErr w:type="spellStart"/>
      <w:r w:rsidRPr="00B238E0">
        <w:rPr>
          <w:lang w:val="en-US" w:eastAsia="zh-CN"/>
        </w:rPr>
        <w:t>pathlossRS</w:t>
      </w:r>
      <w:proofErr w:type="spellEnd"/>
      <w:r w:rsidRPr="00B238E0">
        <w:rPr>
          <w:lang w:val="en-US" w:eastAsia="zh-CN"/>
        </w:rPr>
        <w:t xml:space="preserve"> reference RS from a </w:t>
      </w:r>
      <w:proofErr w:type="spellStart"/>
      <w:r w:rsidRPr="00B238E0">
        <w:rPr>
          <w:lang w:val="en-US" w:eastAsia="zh-CN"/>
        </w:rPr>
        <w:t>neighbour</w:t>
      </w:r>
      <w:proofErr w:type="spellEnd"/>
      <w:r w:rsidRPr="00B238E0">
        <w:rPr>
          <w:lang w:val="en-US" w:eastAsia="zh-CN"/>
        </w:rPr>
        <w:t xml:space="preserve"> cell, in order to increase the hearability of UL positioning method. However, there are still some limitations when determine transmit power of SRS for positioning towards a </w:t>
      </w:r>
      <w:proofErr w:type="spellStart"/>
      <w:r w:rsidRPr="00B238E0">
        <w:rPr>
          <w:lang w:val="en-US" w:eastAsia="zh-CN"/>
        </w:rPr>
        <w:t>neighbour</w:t>
      </w:r>
      <w:proofErr w:type="spellEnd"/>
      <w:r w:rsidRPr="00B238E0">
        <w:rPr>
          <w:lang w:val="en-US" w:eastAsia="zh-CN"/>
        </w:rPr>
        <w:t xml:space="preserve"> gNB/TRP/RP.</w:t>
      </w:r>
    </w:p>
    <w:p w14:paraId="29212C77" w14:textId="77777777" w:rsidR="00494A9C" w:rsidRPr="00B238E0" w:rsidRDefault="00494A9C" w:rsidP="00494A9C">
      <w:pPr>
        <w:pStyle w:val="ListParagraph"/>
        <w:numPr>
          <w:ilvl w:val="0"/>
          <w:numId w:val="33"/>
        </w:numPr>
        <w:spacing w:after="180"/>
        <w:contextualSpacing w:val="0"/>
        <w:jc w:val="both"/>
        <w:rPr>
          <w:sz w:val="20"/>
          <w:szCs w:val="20"/>
          <w:lang w:val="en-US" w:eastAsia="ja-JP"/>
        </w:rPr>
      </w:pPr>
      <w:r w:rsidRPr="00B238E0">
        <w:rPr>
          <w:sz w:val="20"/>
          <w:szCs w:val="20"/>
          <w:lang w:val="en-US"/>
        </w:rPr>
        <w:t xml:space="preserve">Power control parameters are common for </w:t>
      </w:r>
      <w:proofErr w:type="gramStart"/>
      <w:r w:rsidRPr="00B238E0">
        <w:rPr>
          <w:sz w:val="20"/>
          <w:szCs w:val="20"/>
          <w:lang w:val="en-US"/>
        </w:rPr>
        <w:t>a</w:t>
      </w:r>
      <w:proofErr w:type="gramEnd"/>
      <w:r w:rsidRPr="00B238E0">
        <w:rPr>
          <w:sz w:val="20"/>
          <w:szCs w:val="20"/>
          <w:lang w:val="en-US"/>
        </w:rPr>
        <w:t xml:space="preserve"> SRS resource set</w:t>
      </w:r>
    </w:p>
    <w:p w14:paraId="78B3A8AB" w14:textId="77777777" w:rsidR="00494A9C" w:rsidRPr="00B238E0" w:rsidRDefault="00494A9C" w:rsidP="00494A9C">
      <w:pPr>
        <w:pStyle w:val="ListParagraph"/>
        <w:spacing w:after="180"/>
        <w:contextualSpacing w:val="0"/>
        <w:jc w:val="both"/>
        <w:rPr>
          <w:sz w:val="20"/>
          <w:szCs w:val="20"/>
          <w:lang w:val="en-US" w:eastAsia="ja-JP"/>
        </w:rPr>
      </w:pPr>
      <w:r w:rsidRPr="00B238E0">
        <w:rPr>
          <w:sz w:val="20"/>
          <w:szCs w:val="20"/>
          <w:lang w:val="en-US"/>
        </w:rPr>
        <w:t xml:space="preserve">In NR, Power control parameters (including, P0, alpha, pathloss RS) are configured per SRS resource set. Whereas, Rel-16 NR positioning allows </w:t>
      </w:r>
      <w:proofErr w:type="spellStart"/>
      <w:r w:rsidRPr="00B238E0">
        <w:rPr>
          <w:sz w:val="20"/>
          <w:szCs w:val="20"/>
          <w:lang w:val="en-US"/>
        </w:rPr>
        <w:t>SpatialRelationInfo</w:t>
      </w:r>
      <w:proofErr w:type="spellEnd"/>
      <w:r w:rsidRPr="00B238E0">
        <w:rPr>
          <w:sz w:val="20"/>
          <w:szCs w:val="20"/>
          <w:lang w:val="en-US"/>
        </w:rPr>
        <w:t xml:space="preserve"> to be configured per SRS-resource. So, within one SRS-resource-Set a UE can sweep across beams for multiple cells. But, controlling the power to multiple neighbor cells in different SRS resources is not allowed, as power control parameters are common per SRS resource set.</w:t>
      </w:r>
    </w:p>
    <w:p w14:paraId="7DA75C33" w14:textId="15F9101A" w:rsidR="00494A9C" w:rsidRPr="00B238E0" w:rsidRDefault="002C43E4" w:rsidP="00494A9C">
      <w:pPr>
        <w:pStyle w:val="ListParagraph"/>
        <w:numPr>
          <w:ilvl w:val="0"/>
          <w:numId w:val="33"/>
        </w:numPr>
        <w:spacing w:after="180"/>
        <w:contextualSpacing w:val="0"/>
        <w:jc w:val="both"/>
        <w:rPr>
          <w:sz w:val="20"/>
          <w:szCs w:val="20"/>
          <w:lang w:val="en-US" w:eastAsia="ja-JP"/>
        </w:rPr>
      </w:pPr>
      <w:r w:rsidRPr="00B238E0">
        <w:rPr>
          <w:sz w:val="20"/>
          <w:szCs w:val="20"/>
          <w:lang w:val="en-US"/>
        </w:rPr>
        <w:t xml:space="preserve">Lack of </w:t>
      </w:r>
      <w:r w:rsidR="00494A9C" w:rsidRPr="00B238E0">
        <w:rPr>
          <w:sz w:val="20"/>
          <w:szCs w:val="20"/>
          <w:lang w:val="en-US"/>
        </w:rPr>
        <w:t xml:space="preserve">TPC </w:t>
      </w:r>
      <w:r w:rsidRPr="00B238E0">
        <w:rPr>
          <w:sz w:val="20"/>
          <w:szCs w:val="20"/>
          <w:lang w:val="en-US"/>
        </w:rPr>
        <w:t>information at</w:t>
      </w:r>
      <w:r w:rsidR="00494A9C" w:rsidRPr="00B238E0">
        <w:rPr>
          <w:sz w:val="20"/>
          <w:szCs w:val="20"/>
          <w:lang w:val="en-US"/>
        </w:rPr>
        <w:t xml:space="preserve"> serving gNB</w:t>
      </w:r>
    </w:p>
    <w:p w14:paraId="18891E85" w14:textId="71B310F5" w:rsidR="00494A9C" w:rsidRPr="00B238E0" w:rsidRDefault="002C43E4" w:rsidP="6D6420F2">
      <w:pPr>
        <w:pStyle w:val="ListParagraph"/>
        <w:spacing w:after="180"/>
        <w:contextualSpacing w:val="0"/>
        <w:jc w:val="both"/>
        <w:rPr>
          <w:sz w:val="20"/>
          <w:szCs w:val="20"/>
          <w:lang w:val="en-US"/>
        </w:rPr>
      </w:pPr>
      <w:r w:rsidRPr="00B238E0">
        <w:rPr>
          <w:sz w:val="20"/>
          <w:szCs w:val="20"/>
          <w:lang w:val="en-US"/>
        </w:rPr>
        <w:t>T</w:t>
      </w:r>
      <w:r w:rsidR="00494A9C" w:rsidRPr="00B238E0">
        <w:rPr>
          <w:sz w:val="20"/>
          <w:szCs w:val="20"/>
          <w:lang w:val="en-US"/>
        </w:rPr>
        <w:t xml:space="preserve">he power control parameters for SRS are configured by serving gNB via RRC </w:t>
      </w:r>
      <w:proofErr w:type="spellStart"/>
      <w:r w:rsidR="00494A9C" w:rsidRPr="00B238E0">
        <w:rPr>
          <w:sz w:val="20"/>
          <w:szCs w:val="20"/>
          <w:lang w:val="en-US"/>
        </w:rPr>
        <w:t>signalling</w:t>
      </w:r>
      <w:proofErr w:type="spellEnd"/>
      <w:r w:rsidR="00494A9C" w:rsidRPr="00B238E0">
        <w:rPr>
          <w:sz w:val="20"/>
          <w:szCs w:val="20"/>
          <w:lang w:val="en-US"/>
        </w:rPr>
        <w:t xml:space="preserve"> in current Rel15/Rel16 SRS framework. Without any knowledge of SRS’s target gNB/TRP, the serving gNB is not able to assign suitable power control parameters. Arbitrary UL Tx power adjustment may result in lack of coverage (not able to reach target cell) or exceeding interference.</w:t>
      </w:r>
    </w:p>
    <w:p w14:paraId="5B8B538A" w14:textId="7BCB6D33" w:rsidR="002C448F" w:rsidRDefault="002E1293" w:rsidP="002E1293">
      <w:pPr>
        <w:jc w:val="both"/>
        <w:rPr>
          <w:lang w:val="en-US"/>
        </w:rPr>
      </w:pPr>
      <w:r w:rsidRPr="00B238E0">
        <w:rPr>
          <w:b/>
          <w:bCs/>
          <w:lang w:val="en-US"/>
        </w:rPr>
        <w:t xml:space="preserve">Observation </w:t>
      </w:r>
      <w:r w:rsidR="00E34F2B">
        <w:rPr>
          <w:b/>
          <w:bCs/>
          <w:lang w:val="en-US"/>
        </w:rPr>
        <w:t>1</w:t>
      </w:r>
      <w:r w:rsidRPr="00B238E0">
        <w:rPr>
          <w:lang w:val="en-US"/>
        </w:rPr>
        <w:t>: Rel-16 UL TPC techniques have some limitations which negatively impact the performance in terms of achievable positioning accuracy of UL techniques.</w:t>
      </w:r>
    </w:p>
    <w:p w14:paraId="7D9E870E" w14:textId="2CDC2E1A" w:rsidR="002E1293" w:rsidRDefault="002C448F" w:rsidP="002E1293">
      <w:pPr>
        <w:jc w:val="both"/>
        <w:rPr>
          <w:lang w:val="en-US"/>
        </w:rPr>
      </w:pPr>
      <w:r>
        <w:rPr>
          <w:lang w:val="en-US"/>
        </w:rPr>
        <w:t xml:space="preserve">In order to determine a </w:t>
      </w:r>
      <w:proofErr w:type="gramStart"/>
      <w:r>
        <w:rPr>
          <w:lang w:val="en-US"/>
        </w:rPr>
        <w:t>suitable</w:t>
      </w:r>
      <w:proofErr w:type="gramEnd"/>
      <w:r>
        <w:rPr>
          <w:lang w:val="en-US"/>
        </w:rPr>
        <w:t xml:space="preserve"> transmit power of SRS for positioning (towards not only serving gNB/TRP but also neighbor gNBs/TRPs), a possible way is letting LMF to collect TPC parameters from gNBs/TRPs. Then, the LMF could take all required information into account to make a better decision</w:t>
      </w:r>
      <w:r w:rsidR="00F76A8B">
        <w:rPr>
          <w:lang w:val="en-US"/>
        </w:rPr>
        <w:t xml:space="preserve"> by at least requesting some TPC values (</w:t>
      </w:r>
      <w:proofErr w:type="gramStart"/>
      <w:r w:rsidR="00F76A8B">
        <w:rPr>
          <w:lang w:val="en-US"/>
        </w:rPr>
        <w:t>similar to</w:t>
      </w:r>
      <w:proofErr w:type="gramEnd"/>
      <w:r w:rsidR="00F76A8B">
        <w:rPr>
          <w:lang w:val="en-US"/>
        </w:rPr>
        <w:t xml:space="preserve"> spatial relation procedures in Rel-16)</w:t>
      </w:r>
      <w:r>
        <w:rPr>
          <w:lang w:val="en-US"/>
        </w:rPr>
        <w:t>.</w:t>
      </w:r>
      <w:r w:rsidR="002E1293" w:rsidRPr="00B238E0">
        <w:rPr>
          <w:lang w:val="en-US"/>
        </w:rPr>
        <w:t xml:space="preserve"> </w:t>
      </w:r>
    </w:p>
    <w:p w14:paraId="30582BE4" w14:textId="75A986C9" w:rsidR="009A05D5" w:rsidRDefault="009A05D5" w:rsidP="009A05D5">
      <w:pPr>
        <w:rPr>
          <w:rFonts w:eastAsiaTheme="minorEastAsia"/>
          <w:lang w:eastAsia="zh-CN"/>
        </w:rPr>
      </w:pPr>
      <w:r w:rsidRPr="00846114">
        <w:rPr>
          <w:b/>
          <w:bCs/>
          <w:lang w:val="en-US" w:eastAsia="ja-JP"/>
        </w:rPr>
        <w:t xml:space="preserve">Proposal </w:t>
      </w:r>
      <w:r w:rsidR="00E34F2B">
        <w:rPr>
          <w:b/>
          <w:bCs/>
          <w:lang w:val="en-US" w:eastAsia="ja-JP"/>
        </w:rPr>
        <w:t>1</w:t>
      </w:r>
      <w:r>
        <w:rPr>
          <w:b/>
          <w:bCs/>
          <w:lang w:val="en-US" w:eastAsia="ja-JP"/>
        </w:rPr>
        <w:t xml:space="preserve">: </w:t>
      </w:r>
      <w:r w:rsidR="00023C2B" w:rsidRPr="001B0BC0">
        <w:rPr>
          <w:lang w:val="en-US" w:eastAsia="ja-JP"/>
        </w:rPr>
        <w:t>At least open-loop</w:t>
      </w:r>
      <w:r w:rsidR="00023C2B" w:rsidRPr="001B0BC0">
        <w:rPr>
          <w:rFonts w:eastAsiaTheme="minorEastAsia"/>
          <w:lang w:eastAsia="zh-CN"/>
        </w:rPr>
        <w:t xml:space="preserve"> </w:t>
      </w:r>
      <w:r w:rsidR="00023C2B">
        <w:rPr>
          <w:rFonts w:eastAsiaTheme="minorEastAsia"/>
          <w:lang w:eastAsia="zh-CN"/>
        </w:rPr>
        <w:t>p</w:t>
      </w:r>
      <w:r>
        <w:rPr>
          <w:rFonts w:eastAsiaTheme="minorEastAsia"/>
          <w:lang w:eastAsia="zh-CN"/>
        </w:rPr>
        <w:t xml:space="preserve">ower control enhancements of SRS for positioning will be investigated in Rel-17: </w:t>
      </w:r>
    </w:p>
    <w:p w14:paraId="050FF84B" w14:textId="298C9605" w:rsidR="008B4987" w:rsidRPr="00587315" w:rsidRDefault="009A05D5" w:rsidP="00D82B94">
      <w:pPr>
        <w:pStyle w:val="0maintext"/>
        <w:numPr>
          <w:ilvl w:val="1"/>
          <w:numId w:val="39"/>
        </w:numPr>
        <w:spacing w:after="180"/>
        <w:rPr>
          <w:sz w:val="20"/>
          <w:szCs w:val="20"/>
          <w:lang w:val="en-GB"/>
        </w:rPr>
      </w:pPr>
      <w:r>
        <w:rPr>
          <w:sz w:val="20"/>
          <w:szCs w:val="20"/>
          <w:lang w:val="en-GB"/>
        </w:rPr>
        <w:t xml:space="preserve">FFS: whether the TPC </w:t>
      </w:r>
      <w:r>
        <w:rPr>
          <w:sz w:val="20"/>
          <w:szCs w:val="20"/>
        </w:rPr>
        <w:t>towards</w:t>
      </w:r>
      <w:r>
        <w:rPr>
          <w:sz w:val="20"/>
          <w:szCs w:val="20"/>
          <w:lang w:val="en-GB"/>
        </w:rPr>
        <w:t xml:space="preserve"> the serving gNB/TRP only, or also </w:t>
      </w:r>
      <w:r>
        <w:rPr>
          <w:sz w:val="20"/>
          <w:szCs w:val="20"/>
        </w:rPr>
        <w:t>towards</w:t>
      </w:r>
      <w:r>
        <w:rPr>
          <w:sz w:val="20"/>
          <w:szCs w:val="20"/>
          <w:lang w:val="en-GB"/>
        </w:rPr>
        <w:t xml:space="preserve"> the </w:t>
      </w:r>
      <w:proofErr w:type="spellStart"/>
      <w:r>
        <w:rPr>
          <w:sz w:val="20"/>
          <w:szCs w:val="20"/>
          <w:lang w:val="en-GB"/>
        </w:rPr>
        <w:t>neighbor</w:t>
      </w:r>
      <w:proofErr w:type="spellEnd"/>
      <w:r>
        <w:rPr>
          <w:sz w:val="20"/>
          <w:szCs w:val="20"/>
          <w:lang w:val="en-GB"/>
        </w:rPr>
        <w:t xml:space="preserve"> gNBs/TRPs </w:t>
      </w:r>
    </w:p>
    <w:p w14:paraId="0836E7F8" w14:textId="77777777" w:rsidR="00587315" w:rsidRPr="00D401CA" w:rsidRDefault="00587315" w:rsidP="00587315">
      <w:pPr>
        <w:pStyle w:val="Heading2"/>
        <w:rPr>
          <w:lang w:val="en-US" w:eastAsia="ja-JP"/>
        </w:rPr>
      </w:pPr>
      <w:r w:rsidRPr="00D401CA">
        <w:rPr>
          <w:lang w:val="en-US" w:eastAsia="ja-JP"/>
        </w:rPr>
        <w:t>Positioning Above 52.6 GHz</w:t>
      </w:r>
    </w:p>
    <w:p w14:paraId="3D6DD0F6" w14:textId="77777777" w:rsidR="00587315" w:rsidRDefault="00587315" w:rsidP="00587315">
      <w:pPr>
        <w:rPr>
          <w:lang w:val="en-US" w:eastAsia="ja-JP"/>
        </w:rPr>
      </w:pPr>
      <w:r>
        <w:rPr>
          <w:lang w:val="en-US" w:eastAsia="ja-JP"/>
        </w:rPr>
        <w:t xml:space="preserve">In addition to the specification work ongoing for positioning there is work being done in 3GPP to specify support of NR for carrier frequencies up to 71 GHz. As part of that work larger carrier bandwidths (e.g., 2000 MHz) are being considered. It is well known that for </w:t>
      </w:r>
      <w:proofErr w:type="gramStart"/>
      <w:r>
        <w:rPr>
          <w:lang w:val="en-US" w:eastAsia="ja-JP"/>
        </w:rPr>
        <w:t>timing based</w:t>
      </w:r>
      <w:proofErr w:type="gramEnd"/>
      <w:r>
        <w:rPr>
          <w:lang w:val="en-US" w:eastAsia="ja-JP"/>
        </w:rPr>
        <w:t xml:space="preserve"> positioning that higher bandwidths lead to higher potential parameter estimation (e.g., RSTD). It has already been agreed that effective larger bandwidth DL PRS by aggregating DL </w:t>
      </w:r>
      <w:proofErr w:type="spellStart"/>
      <w:r>
        <w:rPr>
          <w:lang w:val="en-US" w:eastAsia="ja-JP"/>
        </w:rPr>
        <w:t>Positining</w:t>
      </w:r>
      <w:proofErr w:type="spellEnd"/>
      <w:r>
        <w:rPr>
          <w:lang w:val="en-US" w:eastAsia="ja-JP"/>
        </w:rPr>
        <w:t xml:space="preserve"> frequency layers will be investigated. </w:t>
      </w:r>
    </w:p>
    <w:p w14:paraId="38F64C3A" w14:textId="1933E983" w:rsidR="00587315" w:rsidRDefault="00587315" w:rsidP="00587315">
      <w:pPr>
        <w:rPr>
          <w:lang w:val="en-US" w:eastAsia="ja-JP"/>
        </w:rPr>
      </w:pPr>
      <w:bookmarkStart w:id="1" w:name="_Hlk61851083"/>
      <w:r w:rsidRPr="009A5FBE">
        <w:rPr>
          <w:b/>
          <w:bCs/>
          <w:lang w:val="en-US" w:eastAsia="ja-JP"/>
        </w:rPr>
        <w:t xml:space="preserve">Observation </w:t>
      </w:r>
      <w:r w:rsidR="00E34F2B">
        <w:rPr>
          <w:b/>
          <w:bCs/>
          <w:lang w:val="en-US" w:eastAsia="ja-JP"/>
        </w:rPr>
        <w:t>2</w:t>
      </w:r>
      <w:r>
        <w:rPr>
          <w:lang w:val="en-US" w:eastAsia="ja-JP"/>
        </w:rPr>
        <w:t xml:space="preserve">: Larger carrier bandwidths can be useful for </w:t>
      </w:r>
      <w:proofErr w:type="gramStart"/>
      <w:r>
        <w:rPr>
          <w:lang w:val="en-US" w:eastAsia="ja-JP"/>
        </w:rPr>
        <w:t>timing based</w:t>
      </w:r>
      <w:proofErr w:type="gramEnd"/>
      <w:r>
        <w:rPr>
          <w:lang w:val="en-US" w:eastAsia="ja-JP"/>
        </w:rPr>
        <w:t xml:space="preserve"> positioning schemes (e.g. DL-TDOA). </w:t>
      </w:r>
    </w:p>
    <w:bookmarkEnd w:id="1"/>
    <w:p w14:paraId="5BD72542" w14:textId="6FDA8BA4" w:rsidR="00587315" w:rsidRDefault="00587315" w:rsidP="00587315">
      <w:pPr>
        <w:rPr>
          <w:lang w:val="en-US" w:eastAsia="ja-JP"/>
        </w:rPr>
      </w:pPr>
      <w:r>
        <w:rPr>
          <w:lang w:val="en-US" w:eastAsia="ja-JP"/>
        </w:rPr>
        <w:lastRenderedPageBreak/>
        <w:t>While the specification work for carrier frequencies above 52.6 GHz is in the early stages it is still worth considering how this could be useful for positioning still during Rel-17. Larger bandwidth is very attractive for positioning, especially with challenging accuracy requirements. The larger bandwidths</w:t>
      </w:r>
      <w:r w:rsidR="00A33F07">
        <w:rPr>
          <w:lang w:val="en-US" w:eastAsia="ja-JP"/>
        </w:rPr>
        <w:t xml:space="preserve"> are </w:t>
      </w:r>
      <w:r>
        <w:rPr>
          <w:lang w:val="en-US" w:eastAsia="ja-JP"/>
        </w:rPr>
        <w:t>lead</w:t>
      </w:r>
      <w:r w:rsidR="00A33F07">
        <w:rPr>
          <w:lang w:val="en-US" w:eastAsia="ja-JP"/>
        </w:rPr>
        <w:t>ing</w:t>
      </w:r>
      <w:r>
        <w:rPr>
          <w:lang w:val="en-US" w:eastAsia="ja-JP"/>
        </w:rPr>
        <w:t xml:space="preserve"> to the introduction of large values for SCS and this could also lead to some issues from a positioning point of view. When positioning measurements which need to receive the DL PRS from multiple gNBs are considered the Rel-16 assumption that the CP is much longer than the propagation delay may no longer hold. RAN1 should consider these impacts in the positioning work in order to fully take advantage of the higher bandwidths of Rel-17 that may end up being specified. </w:t>
      </w:r>
    </w:p>
    <w:p w14:paraId="67BD4D29" w14:textId="137694F1" w:rsidR="00587315" w:rsidRDefault="00587315" w:rsidP="00587315">
      <w:pPr>
        <w:rPr>
          <w:lang w:val="en-US" w:eastAsia="ja-JP"/>
        </w:rPr>
      </w:pPr>
      <w:r w:rsidRPr="00D401CA">
        <w:rPr>
          <w:b/>
          <w:bCs/>
          <w:lang w:val="en-US" w:eastAsia="ja-JP"/>
        </w:rPr>
        <w:t xml:space="preserve">Observation </w:t>
      </w:r>
      <w:r w:rsidR="00E34F2B">
        <w:rPr>
          <w:b/>
          <w:bCs/>
          <w:lang w:val="en-US" w:eastAsia="ja-JP"/>
        </w:rPr>
        <w:t>3</w:t>
      </w:r>
      <w:r w:rsidRPr="00D401CA">
        <w:rPr>
          <w:b/>
          <w:bCs/>
          <w:lang w:val="en-US" w:eastAsia="ja-JP"/>
        </w:rPr>
        <w:t>:</w:t>
      </w:r>
      <w:r>
        <w:rPr>
          <w:lang w:val="en-US" w:eastAsia="ja-JP"/>
        </w:rPr>
        <w:t xml:space="preserve"> The propagation delay from neighboring gNBs may no longer be much shorter than the CP length </w:t>
      </w:r>
      <w:r w:rsidR="00A33F07">
        <w:rPr>
          <w:lang w:val="en-US" w:eastAsia="ja-JP"/>
        </w:rPr>
        <w:t>with the</w:t>
      </w:r>
      <w:r>
        <w:rPr>
          <w:lang w:val="en-US" w:eastAsia="ja-JP"/>
        </w:rPr>
        <w:t xml:space="preserve"> new higher SCS </w:t>
      </w:r>
      <w:r w:rsidR="00A33F07">
        <w:rPr>
          <w:lang w:val="en-US" w:eastAsia="ja-JP"/>
        </w:rPr>
        <w:t>to be</w:t>
      </w:r>
      <w:r>
        <w:rPr>
          <w:lang w:val="en-US" w:eastAsia="ja-JP"/>
        </w:rPr>
        <w:t xml:space="preserve"> introduce</w:t>
      </w:r>
      <w:r w:rsidR="00A33F07">
        <w:rPr>
          <w:lang w:val="en-US" w:eastAsia="ja-JP"/>
        </w:rPr>
        <w:t>d</w:t>
      </w:r>
      <w:r>
        <w:rPr>
          <w:lang w:val="en-US" w:eastAsia="ja-JP"/>
        </w:rPr>
        <w:t xml:space="preserve"> above 52.6 GHz. </w:t>
      </w:r>
    </w:p>
    <w:p w14:paraId="0026DE9B" w14:textId="167028F0" w:rsidR="06690CD4" w:rsidRDefault="00587315" w:rsidP="06690CD4">
      <w:pPr>
        <w:jc w:val="both"/>
        <w:rPr>
          <w:lang w:val="en-US" w:eastAsia="ja-JP"/>
        </w:rPr>
      </w:pPr>
      <w:r w:rsidRPr="06690CD4">
        <w:rPr>
          <w:b/>
          <w:bCs/>
          <w:lang w:val="en-US" w:eastAsia="ja-JP"/>
        </w:rPr>
        <w:t xml:space="preserve">Proposal </w:t>
      </w:r>
      <w:r w:rsidR="00E34F2B">
        <w:rPr>
          <w:b/>
          <w:bCs/>
          <w:lang w:val="en-US" w:eastAsia="ja-JP"/>
        </w:rPr>
        <w:t>2</w:t>
      </w:r>
      <w:r w:rsidRPr="06690CD4">
        <w:rPr>
          <w:b/>
          <w:bCs/>
          <w:lang w:val="en-US" w:eastAsia="ja-JP"/>
        </w:rPr>
        <w:t>:</w:t>
      </w:r>
      <w:r w:rsidRPr="06690CD4">
        <w:rPr>
          <w:lang w:val="en-US" w:eastAsia="ja-JP"/>
        </w:rPr>
        <w:t xml:space="preserve"> RAN1 to </w:t>
      </w:r>
      <w:r w:rsidR="00FC3E1B" w:rsidRPr="06690CD4">
        <w:rPr>
          <w:lang w:val="en-US" w:eastAsia="ja-JP"/>
        </w:rPr>
        <w:t>consider</w:t>
      </w:r>
      <w:r w:rsidRPr="06690CD4">
        <w:rPr>
          <w:lang w:val="en-US" w:eastAsia="ja-JP"/>
        </w:rPr>
        <w:t xml:space="preserve"> the impact of higher BW and SCS on positioning that </w:t>
      </w:r>
      <w:r w:rsidR="00FC3E1B" w:rsidRPr="06690CD4">
        <w:rPr>
          <w:lang w:val="en-US" w:eastAsia="ja-JP"/>
        </w:rPr>
        <w:t>will</w:t>
      </w:r>
      <w:r w:rsidRPr="06690CD4">
        <w:rPr>
          <w:lang w:val="en-US" w:eastAsia="ja-JP"/>
        </w:rPr>
        <w:t xml:space="preserve"> be introduce</w:t>
      </w:r>
      <w:r w:rsidR="00E34F2B">
        <w:rPr>
          <w:lang w:val="en-US" w:eastAsia="ja-JP"/>
        </w:rPr>
        <w:t>d</w:t>
      </w:r>
      <w:r w:rsidRPr="06690CD4">
        <w:rPr>
          <w:lang w:val="en-US" w:eastAsia="ja-JP"/>
        </w:rPr>
        <w:t xml:space="preserve"> during Rel-17.</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74201C00" w14:textId="619F3CA2" w:rsidR="006B1B2A" w:rsidRDefault="006B1B2A" w:rsidP="006B1B2A">
      <w:pPr>
        <w:spacing w:afterLines="50" w:after="120"/>
        <w:rPr>
          <w:color w:val="000000" w:themeColor="text1"/>
          <w:lang w:val="en-US"/>
        </w:rPr>
      </w:pPr>
      <w:r w:rsidRPr="00B238E0">
        <w:rPr>
          <w:color w:val="000000" w:themeColor="text1"/>
          <w:lang w:val="en-US"/>
        </w:rPr>
        <w:t>In this contribution we make the following proposals and observations:</w:t>
      </w:r>
    </w:p>
    <w:p w14:paraId="2B3964C3" w14:textId="66FD6880" w:rsidR="00E34F2B" w:rsidRDefault="00E34F2B" w:rsidP="00E34F2B">
      <w:pPr>
        <w:jc w:val="both"/>
        <w:rPr>
          <w:lang w:val="en-US"/>
        </w:rPr>
      </w:pPr>
      <w:r w:rsidRPr="00B238E0">
        <w:rPr>
          <w:b/>
          <w:bCs/>
          <w:lang w:val="en-US"/>
        </w:rPr>
        <w:t xml:space="preserve">Observation </w:t>
      </w:r>
      <w:r>
        <w:rPr>
          <w:b/>
          <w:bCs/>
          <w:lang w:val="en-US"/>
        </w:rPr>
        <w:t>1</w:t>
      </w:r>
      <w:r w:rsidRPr="00B238E0">
        <w:rPr>
          <w:lang w:val="en-US"/>
        </w:rPr>
        <w:t>: Rel-16 UL TPC techniques have some limitations which negatively impact the performance in terms of achievable positioning accuracy of UL techniques.</w:t>
      </w:r>
    </w:p>
    <w:p w14:paraId="44BF07D8" w14:textId="77777777" w:rsidR="00E34F2B" w:rsidRDefault="00E34F2B" w:rsidP="00E34F2B">
      <w:pPr>
        <w:rPr>
          <w:rFonts w:eastAsiaTheme="minorEastAsia"/>
          <w:lang w:eastAsia="zh-CN"/>
        </w:rPr>
      </w:pPr>
      <w:r w:rsidRPr="00846114">
        <w:rPr>
          <w:b/>
          <w:bCs/>
          <w:lang w:val="en-US" w:eastAsia="ja-JP"/>
        </w:rPr>
        <w:t xml:space="preserve">Proposal </w:t>
      </w:r>
      <w:r>
        <w:rPr>
          <w:b/>
          <w:bCs/>
          <w:lang w:val="en-US" w:eastAsia="ja-JP"/>
        </w:rPr>
        <w:t xml:space="preserve">1: </w:t>
      </w:r>
      <w:r w:rsidRPr="001B0BC0">
        <w:rPr>
          <w:lang w:val="en-US" w:eastAsia="ja-JP"/>
        </w:rPr>
        <w:t>At least open-loop</w:t>
      </w:r>
      <w:r w:rsidRPr="001B0BC0">
        <w:rPr>
          <w:rFonts w:eastAsiaTheme="minorEastAsia"/>
          <w:lang w:eastAsia="zh-CN"/>
        </w:rPr>
        <w:t xml:space="preserve"> </w:t>
      </w:r>
      <w:r>
        <w:rPr>
          <w:rFonts w:eastAsiaTheme="minorEastAsia"/>
          <w:lang w:eastAsia="zh-CN"/>
        </w:rPr>
        <w:t xml:space="preserve">power control enhancements of SRS for positioning will be investigated in Rel-17: </w:t>
      </w:r>
    </w:p>
    <w:p w14:paraId="6F9CB239" w14:textId="77777777" w:rsidR="00E34F2B" w:rsidRPr="00587315" w:rsidRDefault="00E34F2B" w:rsidP="00E34F2B">
      <w:pPr>
        <w:pStyle w:val="0maintext"/>
        <w:numPr>
          <w:ilvl w:val="1"/>
          <w:numId w:val="39"/>
        </w:numPr>
        <w:spacing w:after="180"/>
        <w:rPr>
          <w:sz w:val="20"/>
          <w:szCs w:val="20"/>
          <w:lang w:val="en-GB"/>
        </w:rPr>
      </w:pPr>
      <w:r>
        <w:rPr>
          <w:sz w:val="20"/>
          <w:szCs w:val="20"/>
          <w:lang w:val="en-GB"/>
        </w:rPr>
        <w:t xml:space="preserve">FFS: whether the TPC </w:t>
      </w:r>
      <w:r>
        <w:rPr>
          <w:sz w:val="20"/>
          <w:szCs w:val="20"/>
        </w:rPr>
        <w:t>towards</w:t>
      </w:r>
      <w:r>
        <w:rPr>
          <w:sz w:val="20"/>
          <w:szCs w:val="20"/>
          <w:lang w:val="en-GB"/>
        </w:rPr>
        <w:t xml:space="preserve"> the serving gNB/TRP only, or also </w:t>
      </w:r>
      <w:r>
        <w:rPr>
          <w:sz w:val="20"/>
          <w:szCs w:val="20"/>
        </w:rPr>
        <w:t>towards</w:t>
      </w:r>
      <w:r>
        <w:rPr>
          <w:sz w:val="20"/>
          <w:szCs w:val="20"/>
          <w:lang w:val="en-GB"/>
        </w:rPr>
        <w:t xml:space="preserve"> the </w:t>
      </w:r>
      <w:proofErr w:type="spellStart"/>
      <w:r>
        <w:rPr>
          <w:sz w:val="20"/>
          <w:szCs w:val="20"/>
          <w:lang w:val="en-GB"/>
        </w:rPr>
        <w:t>neighbor</w:t>
      </w:r>
      <w:proofErr w:type="spellEnd"/>
      <w:r>
        <w:rPr>
          <w:sz w:val="20"/>
          <w:szCs w:val="20"/>
          <w:lang w:val="en-GB"/>
        </w:rPr>
        <w:t xml:space="preserve"> gNBs/TRPs </w:t>
      </w:r>
    </w:p>
    <w:p w14:paraId="229EE4DF" w14:textId="55CAA85A" w:rsidR="00E34F2B" w:rsidRDefault="00E34F2B" w:rsidP="00E34F2B">
      <w:pPr>
        <w:jc w:val="both"/>
        <w:rPr>
          <w:lang w:val="en-US"/>
        </w:rPr>
      </w:pPr>
      <w:r w:rsidRPr="00E34F2B">
        <w:rPr>
          <w:b/>
          <w:bCs/>
          <w:lang w:val="en-US"/>
        </w:rPr>
        <w:t>Observation 2:</w:t>
      </w:r>
      <w:r w:rsidRPr="00E34F2B">
        <w:rPr>
          <w:lang w:val="en-US"/>
        </w:rPr>
        <w:t xml:space="preserve"> Larger carrier bandwidths can be useful for </w:t>
      </w:r>
      <w:proofErr w:type="gramStart"/>
      <w:r w:rsidRPr="00E34F2B">
        <w:rPr>
          <w:lang w:val="en-US"/>
        </w:rPr>
        <w:t>timing based</w:t>
      </w:r>
      <w:proofErr w:type="gramEnd"/>
      <w:r w:rsidRPr="00E34F2B">
        <w:rPr>
          <w:lang w:val="en-US"/>
        </w:rPr>
        <w:t xml:space="preserve"> positioning schemes (e.g. DL-TDOA).</w:t>
      </w:r>
    </w:p>
    <w:p w14:paraId="326533DC" w14:textId="77777777" w:rsidR="00E34F2B" w:rsidRDefault="00E34F2B" w:rsidP="00E34F2B">
      <w:pPr>
        <w:rPr>
          <w:lang w:val="en-US" w:eastAsia="ja-JP"/>
        </w:rPr>
      </w:pPr>
      <w:r w:rsidRPr="00D401CA">
        <w:rPr>
          <w:b/>
          <w:bCs/>
          <w:lang w:val="en-US" w:eastAsia="ja-JP"/>
        </w:rPr>
        <w:t xml:space="preserve">Observation </w:t>
      </w:r>
      <w:r>
        <w:rPr>
          <w:b/>
          <w:bCs/>
          <w:lang w:val="en-US" w:eastAsia="ja-JP"/>
        </w:rPr>
        <w:t>3</w:t>
      </w:r>
      <w:r w:rsidRPr="00D401CA">
        <w:rPr>
          <w:b/>
          <w:bCs/>
          <w:lang w:val="en-US" w:eastAsia="ja-JP"/>
        </w:rPr>
        <w:t>:</w:t>
      </w:r>
      <w:r>
        <w:rPr>
          <w:lang w:val="en-US" w:eastAsia="ja-JP"/>
        </w:rPr>
        <w:t xml:space="preserve"> The propagation delay from neighboring gNBs may no longer be much shorter than the CP length with the new higher SCS to be introduced above 52.6 GHz. </w:t>
      </w:r>
      <w:bookmarkStart w:id="2" w:name="_GoBack"/>
      <w:bookmarkEnd w:id="2"/>
    </w:p>
    <w:p w14:paraId="5AA977C9" w14:textId="60F0F191" w:rsidR="00E34F2B" w:rsidRDefault="00E34F2B" w:rsidP="00E34F2B">
      <w:pPr>
        <w:jc w:val="both"/>
        <w:rPr>
          <w:lang w:val="en-US" w:eastAsia="ja-JP"/>
        </w:rPr>
      </w:pPr>
      <w:r w:rsidRPr="06690CD4">
        <w:rPr>
          <w:b/>
          <w:bCs/>
          <w:lang w:val="en-US" w:eastAsia="ja-JP"/>
        </w:rPr>
        <w:t xml:space="preserve">Proposal </w:t>
      </w:r>
      <w:r>
        <w:rPr>
          <w:b/>
          <w:bCs/>
          <w:lang w:val="en-US" w:eastAsia="ja-JP"/>
        </w:rPr>
        <w:t>2</w:t>
      </w:r>
      <w:r w:rsidRPr="06690CD4">
        <w:rPr>
          <w:b/>
          <w:bCs/>
          <w:lang w:val="en-US" w:eastAsia="ja-JP"/>
        </w:rPr>
        <w:t>:</w:t>
      </w:r>
      <w:r w:rsidRPr="06690CD4">
        <w:rPr>
          <w:lang w:val="en-US" w:eastAsia="ja-JP"/>
        </w:rPr>
        <w:t xml:space="preserve"> RAN1 to consider the impact of higher BW and SCS on positioning that will be introduce</w:t>
      </w:r>
      <w:r>
        <w:rPr>
          <w:lang w:val="en-US" w:eastAsia="ja-JP"/>
        </w:rPr>
        <w:t>d</w:t>
      </w:r>
      <w:r w:rsidRPr="06690CD4">
        <w:rPr>
          <w:lang w:val="en-US" w:eastAsia="ja-JP"/>
        </w:rPr>
        <w:t xml:space="preserve"> during Rel-17.</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72331151"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RP-202900</w:t>
      </w:r>
      <w:r w:rsidRPr="00B238E0">
        <w:rPr>
          <w:color w:val="000000" w:themeColor="text1"/>
          <w:lang w:val="en-US"/>
        </w:rPr>
        <w:t xml:space="preserve">, New </w:t>
      </w:r>
      <w:r w:rsidR="007A071E">
        <w:rPr>
          <w:color w:val="000000" w:themeColor="text1"/>
          <w:lang w:val="en-US"/>
        </w:rPr>
        <w:t>W</w:t>
      </w:r>
      <w:r w:rsidRPr="00B238E0">
        <w:rPr>
          <w:color w:val="000000" w:themeColor="text1"/>
          <w:lang w:val="en-US"/>
        </w:rPr>
        <w:t xml:space="preserve">ID on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289DC080" w:rsidR="004812B9" w:rsidRPr="00B238E0" w:rsidRDefault="004812B9" w:rsidP="004812B9">
      <w:pPr>
        <w:spacing w:line="259" w:lineRule="auto"/>
        <w:rPr>
          <w:color w:val="000000" w:themeColor="text1"/>
          <w:lang w:val="en-US"/>
        </w:rPr>
      </w:pPr>
      <w:r w:rsidRPr="00B238E0">
        <w:rPr>
          <w:color w:val="000000" w:themeColor="text1"/>
          <w:lang w:val="en-US"/>
        </w:rPr>
        <w:t>[2] R1-</w:t>
      </w:r>
      <w:r w:rsidR="008A3BA1">
        <w:rPr>
          <w:color w:val="000000" w:themeColor="text1"/>
          <w:lang w:val="en-US"/>
        </w:rPr>
        <w:t>2100548</w:t>
      </w:r>
      <w:r w:rsidR="007A071E" w:rsidRPr="00E34F2B">
        <w:rPr>
          <w:color w:val="000000" w:themeColor="text1"/>
          <w:lang w:val="en-US"/>
        </w:rPr>
        <w:t xml:space="preserve">, </w:t>
      </w:r>
      <w:r w:rsidR="008A3BA1" w:rsidRPr="00E34F2B">
        <w:rPr>
          <w:color w:val="000000" w:themeColor="text1"/>
          <w:lang w:val="en-US"/>
        </w:rPr>
        <w:t>Initial views on mitigating UE and gNB Rx/Tx timing errors,</w:t>
      </w:r>
      <w:r w:rsidR="008A3BA1" w:rsidRPr="008A3BA1">
        <w:rPr>
          <w:color w:val="000000" w:themeColor="text1"/>
          <w:lang w:val="en-US"/>
        </w:rPr>
        <w:t xml:space="preserve"> </w:t>
      </w:r>
      <w:r w:rsidR="00226FB3" w:rsidRPr="008A3BA1">
        <w:rPr>
          <w:color w:val="000000" w:themeColor="text1"/>
          <w:lang w:val="en-US"/>
        </w:rPr>
        <w:t>Nokia</w:t>
      </w:r>
      <w:r w:rsidR="00226FB3">
        <w:rPr>
          <w:color w:val="000000" w:themeColor="text1"/>
          <w:lang w:val="en-US"/>
        </w:rPr>
        <w:t>, Nokia Shanghai Bell.</w:t>
      </w:r>
    </w:p>
    <w:p w14:paraId="4BED5AA0" w14:textId="71798195" w:rsidR="00DF0B81" w:rsidRDefault="004812B9" w:rsidP="003273C5">
      <w:pPr>
        <w:spacing w:line="259" w:lineRule="auto"/>
        <w:rPr>
          <w:color w:val="000000" w:themeColor="text1"/>
          <w:lang w:val="en-US"/>
        </w:rPr>
      </w:pPr>
      <w:r w:rsidRPr="00B238E0">
        <w:rPr>
          <w:color w:val="000000" w:themeColor="text1"/>
          <w:lang w:val="en-US"/>
        </w:rPr>
        <w:t>[3] R1-</w:t>
      </w:r>
      <w:r w:rsidRPr="008A3BA1">
        <w:rPr>
          <w:color w:val="000000" w:themeColor="text1"/>
          <w:lang w:val="en-US"/>
        </w:rPr>
        <w:t>2</w:t>
      </w:r>
      <w:r w:rsidR="008A3BA1" w:rsidRPr="008A3BA1">
        <w:rPr>
          <w:color w:val="000000" w:themeColor="text1"/>
          <w:lang w:val="en-US"/>
        </w:rPr>
        <w:t>100549</w:t>
      </w:r>
      <w:r w:rsidR="00226FB3" w:rsidRPr="00E34F2B">
        <w:rPr>
          <w:color w:val="000000" w:themeColor="text1"/>
          <w:lang w:val="en-US"/>
        </w:rPr>
        <w:t xml:space="preserve">, </w:t>
      </w:r>
      <w:r w:rsidR="008A3BA1" w:rsidRPr="00E34F2B">
        <w:rPr>
          <w:color w:val="000000" w:themeColor="text1"/>
          <w:lang w:val="en-US"/>
        </w:rPr>
        <w:t>Initial views on enhancing UL AoA</w:t>
      </w:r>
      <w:r w:rsidR="00226FB3" w:rsidRPr="008A3BA1">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6BBA8FC7" w14:textId="53589756" w:rsidR="00DF0B81" w:rsidRPr="00B238E0" w:rsidRDefault="00DF0B81" w:rsidP="00DF0B81">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8A3BA1">
        <w:rPr>
          <w:color w:val="000000" w:themeColor="text1"/>
          <w:lang w:val="en-US"/>
        </w:rPr>
        <w:t>2</w:t>
      </w:r>
      <w:r w:rsidR="008A3BA1" w:rsidRPr="008A3BA1">
        <w:rPr>
          <w:color w:val="000000" w:themeColor="text1"/>
          <w:lang w:val="en-US"/>
        </w:rPr>
        <w:t>100551</w:t>
      </w:r>
      <w:r w:rsidRPr="00E34F2B">
        <w:rPr>
          <w:color w:val="000000" w:themeColor="text1"/>
          <w:lang w:val="en-US"/>
        </w:rPr>
        <w:t xml:space="preserve">, </w:t>
      </w:r>
      <w:r w:rsidR="008A3BA1" w:rsidRPr="00E34F2B">
        <w:rPr>
          <w:color w:val="000000" w:themeColor="text1"/>
          <w:lang w:val="en-US"/>
        </w:rPr>
        <w:t>Initial views on enhancing DL AoD</w:t>
      </w:r>
      <w:r w:rsidRPr="008A3BA1">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291F78D" w14:textId="6903A567" w:rsidR="00B54445" w:rsidRPr="00B238E0" w:rsidRDefault="004812B9" w:rsidP="003273C5">
      <w:pPr>
        <w:spacing w:line="259" w:lineRule="auto"/>
        <w:rPr>
          <w:color w:val="000000" w:themeColor="text1"/>
          <w:lang w:val="en-US"/>
        </w:rPr>
      </w:pP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3343" w14:textId="77777777" w:rsidR="008E220A" w:rsidRDefault="008E220A">
      <w:r>
        <w:separator/>
      </w:r>
    </w:p>
  </w:endnote>
  <w:endnote w:type="continuationSeparator" w:id="0">
    <w:p w14:paraId="1D157447" w14:textId="77777777" w:rsidR="008E220A" w:rsidRDefault="008E220A">
      <w:r>
        <w:continuationSeparator/>
      </w:r>
    </w:p>
  </w:endnote>
  <w:endnote w:type="continuationNotice" w:id="1">
    <w:p w14:paraId="24C67769" w14:textId="77777777" w:rsidR="008E220A" w:rsidRDefault="008E2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1B03C" w14:textId="77777777" w:rsidR="008E220A" w:rsidRDefault="008E220A">
      <w:r>
        <w:separator/>
      </w:r>
    </w:p>
  </w:footnote>
  <w:footnote w:type="continuationSeparator" w:id="0">
    <w:p w14:paraId="4001AAFF" w14:textId="77777777" w:rsidR="008E220A" w:rsidRDefault="008E220A">
      <w:r>
        <w:continuationSeparator/>
      </w:r>
    </w:p>
  </w:footnote>
  <w:footnote w:type="continuationNotice" w:id="1">
    <w:p w14:paraId="5FF1059E" w14:textId="77777777" w:rsidR="008E220A" w:rsidRDefault="008E2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0128940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2"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3"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53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BF6558"/>
    <w:multiLevelType w:val="multilevel"/>
    <w:tmpl w:val="3E7C6B2A"/>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5"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6"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6"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38"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4"/>
  </w:num>
  <w:num w:numId="2">
    <w:abstractNumId w:val="6"/>
  </w:num>
  <w:num w:numId="3">
    <w:abstractNumId w:val="8"/>
  </w:num>
  <w:num w:numId="4">
    <w:abstractNumId w:val="13"/>
  </w:num>
  <w:num w:numId="5">
    <w:abstractNumId w:val="24"/>
  </w:num>
  <w:num w:numId="6">
    <w:abstractNumId w:val="10"/>
  </w:num>
  <w:num w:numId="7">
    <w:abstractNumId w:val="36"/>
  </w:num>
  <w:num w:numId="8">
    <w:abstractNumId w:val="34"/>
  </w:num>
  <w:num w:numId="9">
    <w:abstractNumId w:val="28"/>
  </w:num>
  <w:num w:numId="10">
    <w:abstractNumId w:val="9"/>
  </w:num>
  <w:num w:numId="11">
    <w:abstractNumId w:val="32"/>
  </w:num>
  <w:num w:numId="12">
    <w:abstractNumId w:val="22"/>
  </w:num>
  <w:num w:numId="13">
    <w:abstractNumId w:val="29"/>
  </w:num>
  <w:num w:numId="14">
    <w:abstractNumId w:val="16"/>
  </w:num>
  <w:num w:numId="15">
    <w:abstractNumId w:val="26"/>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5"/>
  </w:num>
  <w:num w:numId="20">
    <w:abstractNumId w:val="5"/>
  </w:num>
  <w:num w:numId="21">
    <w:abstractNumId w:val="3"/>
  </w:num>
  <w:num w:numId="22">
    <w:abstractNumId w:val="1"/>
  </w:num>
  <w:num w:numId="23">
    <w:abstractNumId w:val="17"/>
  </w:num>
  <w:num w:numId="24">
    <w:abstractNumId w:val="33"/>
  </w:num>
  <w:num w:numId="25">
    <w:abstractNumId w:val="4"/>
  </w:num>
  <w:num w:numId="26">
    <w:abstractNumId w:val="12"/>
  </w:num>
  <w:num w:numId="27">
    <w:abstractNumId w:val="35"/>
  </w:num>
  <w:num w:numId="28">
    <w:abstractNumId w:val="5"/>
  </w:num>
  <w:num w:numId="29">
    <w:abstractNumId w:val="11"/>
  </w:num>
  <w:num w:numId="30">
    <w:abstractNumId w:val="37"/>
  </w:num>
  <w:num w:numId="31">
    <w:abstractNumId w:val="19"/>
  </w:num>
  <w:num w:numId="32">
    <w:abstractNumId w:val="20"/>
  </w:num>
  <w:num w:numId="33">
    <w:abstractNumId w:val="7"/>
  </w:num>
  <w:num w:numId="34">
    <w:abstractNumId w:val="39"/>
  </w:num>
  <w:num w:numId="35">
    <w:abstractNumId w:val="38"/>
  </w:num>
  <w:num w:numId="36">
    <w:abstractNumId w:val="27"/>
  </w:num>
  <w:num w:numId="37">
    <w:abstractNumId w:val="23"/>
  </w:num>
  <w:num w:numId="38">
    <w:abstractNumId w:val="30"/>
  </w:num>
  <w:num w:numId="39">
    <w:abstractNumId w:val="25"/>
  </w:num>
  <w:num w:numId="40">
    <w:abstractNumId w:val="21"/>
  </w:num>
  <w:num w:numId="41">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F3E"/>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4A73"/>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12D"/>
    <w:rsid w:val="003B3752"/>
    <w:rsid w:val="003B3C64"/>
    <w:rsid w:val="003B3DDF"/>
    <w:rsid w:val="003B4822"/>
    <w:rsid w:val="003B4FAA"/>
    <w:rsid w:val="003B547A"/>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4EE"/>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4D1"/>
    <w:rsid w:val="004D7DA8"/>
    <w:rsid w:val="004E10CD"/>
    <w:rsid w:val="004E1144"/>
    <w:rsid w:val="004E1401"/>
    <w:rsid w:val="004E1F39"/>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315"/>
    <w:rsid w:val="00587503"/>
    <w:rsid w:val="00587F7F"/>
    <w:rsid w:val="00590E8D"/>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10F"/>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1C2"/>
    <w:rsid w:val="00791A00"/>
    <w:rsid w:val="00791DDB"/>
    <w:rsid w:val="00792CEE"/>
    <w:rsid w:val="007936A8"/>
    <w:rsid w:val="007962B4"/>
    <w:rsid w:val="00796F15"/>
    <w:rsid w:val="00797AA9"/>
    <w:rsid w:val="00797E22"/>
    <w:rsid w:val="007A071E"/>
    <w:rsid w:val="007A138F"/>
    <w:rsid w:val="007A1640"/>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3BA1"/>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E9E"/>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3F07"/>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00B"/>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02D3"/>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8E6"/>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0B81"/>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2B"/>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103"/>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6920"/>
    <w:rsid w:val="00F378F1"/>
    <w:rsid w:val="00F403A1"/>
    <w:rsid w:val="00F403DB"/>
    <w:rsid w:val="00F4065A"/>
    <w:rsid w:val="00F4275C"/>
    <w:rsid w:val="00F431CF"/>
    <w:rsid w:val="00F434B2"/>
    <w:rsid w:val="00F44D7F"/>
    <w:rsid w:val="00F45693"/>
    <w:rsid w:val="00F52339"/>
    <w:rsid w:val="00F5277A"/>
    <w:rsid w:val="00F532E8"/>
    <w:rsid w:val="00F537FF"/>
    <w:rsid w:val="00F540F9"/>
    <w:rsid w:val="00F54E36"/>
    <w:rsid w:val="00F560FE"/>
    <w:rsid w:val="00F6051C"/>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3AEE"/>
    <w:rsid w:val="00FC3E1B"/>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637DA4"/>
    <w:rsid w:val="05A5C55C"/>
    <w:rsid w:val="05B5E4B5"/>
    <w:rsid w:val="05C6532D"/>
    <w:rsid w:val="05DE1F8D"/>
    <w:rsid w:val="0606722E"/>
    <w:rsid w:val="06690CD4"/>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6AE2ED"/>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A9619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54C116"/>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19656C"/>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5"/>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7"/>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1"/>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2"/>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5AIRPNAIUNRU-1830940522-9527</_dlc_DocId>
    <_dlc_DocIdUrl xmlns="71c5aaf6-e6ce-465b-b873-5148d2a4c105">
      <Url>https://nokia.sharepoint.com/sites/c5g/5gradio/_layouts/15/DocIdRedir.aspx?ID=5AIRPNAIUNRU-1830940522-9527</Url>
      <Description>5AIRPNAIUNRU-1830940522-9527</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3b34c8f0-1ef5-4d1e-bb66-517ce7fe7356"/>
    <ds:schemaRef ds:uri="http://schemas.microsoft.com/office/2006/metadata/properties"/>
    <ds:schemaRef ds:uri="71c5aaf6-e6ce-465b-b873-5148d2a4c105"/>
    <ds:schemaRef ds:uri="http://purl.org/dc/terms/"/>
    <ds:schemaRef ds:uri="95d2e41d-1f11-4347-bb1c-11d6a32975dd"/>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ebabf6ce-2443-438c-9946-ecc878e7654a"/>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ED5CAEB-4DCC-4058-82B4-2EA315E2B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842</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2019-03-29T00:37:00Z</cp:lastPrinted>
  <dcterms:created xsi:type="dcterms:W3CDTF">2021-01-18T14:28:00Z</dcterms:created>
  <dcterms:modified xsi:type="dcterms:W3CDTF">2021-01-18T14:31:00Z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bc9af714-929b-46d9-bf83-939493ae0110</vt:lpwstr>
  </property>
  <property fmtid="{D5CDD505-2E9C-101B-9397-08002B2CF9AE}" pid="9" name="AuthorIds_UIVersion_2048">
    <vt:lpwstr>14130</vt:lpwstr>
  </property>
  <property fmtid="{D5CDD505-2E9C-101B-9397-08002B2CF9AE}" pid="10" name="AuthorIds_UIVersion_512">
    <vt:lpwstr>14130</vt:lpwstr>
  </property>
</Properties>
</file>